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CD4015"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5B2029F6"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7BF6B561"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42994379"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0CBE4EE7"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7BE5B481"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364AA8BB" w14:textId="77777777" w:rsidR="00A64F09" w:rsidRPr="00101D8A" w:rsidRDefault="00A64F09" w:rsidP="00101D8A">
      <w:pPr>
        <w:spacing w:line="480" w:lineRule="auto"/>
        <w:jc w:val="both"/>
        <w:rPr>
          <w:rFonts w:ascii="Times New Roman" w:hAnsi="Times New Roman" w:cs="Times New Roman"/>
          <w:sz w:val="24"/>
          <w:szCs w:val="24"/>
        </w:rPr>
      </w:pPr>
    </w:p>
    <w:p w14:paraId="6937EF1D" w14:textId="77777777" w:rsidR="00A64F09" w:rsidRPr="00101D8A" w:rsidRDefault="00A64F09" w:rsidP="00101D8A">
      <w:pPr>
        <w:spacing w:line="480" w:lineRule="auto"/>
        <w:ind w:firstLine="720"/>
        <w:jc w:val="center"/>
        <w:rPr>
          <w:rFonts w:ascii="Times New Roman" w:hAnsi="Times New Roman" w:cs="Times New Roman"/>
          <w:sz w:val="24"/>
          <w:szCs w:val="24"/>
        </w:rPr>
      </w:pPr>
    </w:p>
    <w:p w14:paraId="21DD1BEE" w14:textId="77777777" w:rsidR="00A64F09" w:rsidRPr="00101D8A" w:rsidRDefault="002778B4" w:rsidP="00101D8A">
      <w:pPr>
        <w:spacing w:line="480" w:lineRule="auto"/>
        <w:ind w:firstLine="720"/>
        <w:jc w:val="center"/>
        <w:rPr>
          <w:rFonts w:ascii="Times New Roman" w:hAnsi="Times New Roman" w:cs="Times New Roman"/>
          <w:sz w:val="24"/>
          <w:szCs w:val="24"/>
        </w:rPr>
      </w:pPr>
      <w:r w:rsidRPr="00101D8A">
        <w:rPr>
          <w:rFonts w:ascii="Times New Roman" w:hAnsi="Times New Roman" w:cs="Times New Roman"/>
          <w:sz w:val="24"/>
          <w:szCs w:val="24"/>
        </w:rPr>
        <w:t>Name</w:t>
      </w:r>
    </w:p>
    <w:p w14:paraId="3A853E9F" w14:textId="77777777" w:rsidR="00A64F09" w:rsidRPr="00101D8A" w:rsidRDefault="002778B4" w:rsidP="00101D8A">
      <w:pPr>
        <w:spacing w:line="480" w:lineRule="auto"/>
        <w:ind w:firstLine="720"/>
        <w:jc w:val="center"/>
        <w:rPr>
          <w:rFonts w:ascii="Times New Roman" w:hAnsi="Times New Roman" w:cs="Times New Roman"/>
          <w:sz w:val="24"/>
          <w:szCs w:val="24"/>
        </w:rPr>
      </w:pPr>
      <w:r w:rsidRPr="00101D8A">
        <w:rPr>
          <w:rFonts w:ascii="Times New Roman" w:hAnsi="Times New Roman" w:cs="Times New Roman"/>
          <w:sz w:val="24"/>
          <w:szCs w:val="24"/>
        </w:rPr>
        <w:t>Institution</w:t>
      </w:r>
    </w:p>
    <w:p w14:paraId="24C02657" w14:textId="77777777" w:rsidR="00A64F09" w:rsidRPr="00101D8A" w:rsidRDefault="002778B4" w:rsidP="00101D8A">
      <w:pPr>
        <w:spacing w:line="480" w:lineRule="auto"/>
        <w:ind w:firstLine="720"/>
        <w:jc w:val="center"/>
        <w:rPr>
          <w:rFonts w:ascii="Times New Roman" w:hAnsi="Times New Roman" w:cs="Times New Roman"/>
          <w:sz w:val="24"/>
          <w:szCs w:val="24"/>
        </w:rPr>
      </w:pPr>
      <w:r w:rsidRPr="00101D8A">
        <w:rPr>
          <w:rFonts w:ascii="Times New Roman" w:hAnsi="Times New Roman" w:cs="Times New Roman"/>
          <w:sz w:val="24"/>
          <w:szCs w:val="24"/>
        </w:rPr>
        <w:t>Course</w:t>
      </w:r>
    </w:p>
    <w:p w14:paraId="7A8BA381" w14:textId="77777777" w:rsidR="00A64F09" w:rsidRPr="00101D8A" w:rsidRDefault="002778B4" w:rsidP="00101D8A">
      <w:pPr>
        <w:spacing w:line="480" w:lineRule="auto"/>
        <w:ind w:firstLine="720"/>
        <w:jc w:val="center"/>
        <w:rPr>
          <w:rFonts w:ascii="Times New Roman" w:hAnsi="Times New Roman" w:cs="Times New Roman"/>
          <w:sz w:val="24"/>
          <w:szCs w:val="24"/>
        </w:rPr>
      </w:pPr>
      <w:r w:rsidRPr="00101D8A">
        <w:rPr>
          <w:rFonts w:ascii="Times New Roman" w:hAnsi="Times New Roman" w:cs="Times New Roman"/>
          <w:sz w:val="24"/>
          <w:szCs w:val="24"/>
        </w:rPr>
        <w:t>Date</w:t>
      </w:r>
    </w:p>
    <w:p w14:paraId="5A0C8C24" w14:textId="77777777" w:rsidR="00A64F09" w:rsidRPr="00101D8A" w:rsidRDefault="00A64F09" w:rsidP="00101D8A">
      <w:pPr>
        <w:spacing w:line="480" w:lineRule="auto"/>
        <w:ind w:firstLine="720"/>
        <w:jc w:val="center"/>
        <w:rPr>
          <w:rFonts w:ascii="Times New Roman" w:hAnsi="Times New Roman" w:cs="Times New Roman"/>
          <w:sz w:val="24"/>
          <w:szCs w:val="24"/>
        </w:rPr>
      </w:pPr>
    </w:p>
    <w:p w14:paraId="2E6919B8" w14:textId="77777777" w:rsidR="00A64F09" w:rsidRPr="00101D8A" w:rsidRDefault="00A64F09" w:rsidP="00101D8A">
      <w:pPr>
        <w:spacing w:line="480" w:lineRule="auto"/>
        <w:ind w:firstLine="720"/>
        <w:jc w:val="center"/>
        <w:rPr>
          <w:rFonts w:ascii="Times New Roman" w:hAnsi="Times New Roman" w:cs="Times New Roman"/>
          <w:sz w:val="24"/>
          <w:szCs w:val="24"/>
        </w:rPr>
      </w:pPr>
    </w:p>
    <w:p w14:paraId="110C7D1E" w14:textId="77777777" w:rsidR="00A64F09" w:rsidRPr="00101D8A" w:rsidRDefault="00A64F09" w:rsidP="00101D8A">
      <w:pPr>
        <w:spacing w:line="480" w:lineRule="auto"/>
        <w:ind w:firstLine="720"/>
        <w:jc w:val="center"/>
        <w:rPr>
          <w:rFonts w:ascii="Times New Roman" w:hAnsi="Times New Roman" w:cs="Times New Roman"/>
          <w:sz w:val="24"/>
          <w:szCs w:val="24"/>
        </w:rPr>
      </w:pPr>
    </w:p>
    <w:p w14:paraId="27289023" w14:textId="77777777" w:rsidR="00A64F09" w:rsidRPr="00101D8A" w:rsidRDefault="00A64F09" w:rsidP="00101D8A">
      <w:pPr>
        <w:spacing w:line="480" w:lineRule="auto"/>
        <w:ind w:firstLine="720"/>
        <w:jc w:val="both"/>
        <w:rPr>
          <w:rFonts w:ascii="Times New Roman" w:hAnsi="Times New Roman" w:cs="Times New Roman"/>
          <w:sz w:val="24"/>
          <w:szCs w:val="24"/>
        </w:rPr>
      </w:pPr>
    </w:p>
    <w:p w14:paraId="5A2E56F2" w14:textId="77777777" w:rsidR="00A64F09" w:rsidRPr="00101D8A" w:rsidRDefault="00A64F09" w:rsidP="00101D8A">
      <w:pPr>
        <w:spacing w:line="480" w:lineRule="auto"/>
        <w:jc w:val="both"/>
        <w:rPr>
          <w:rFonts w:ascii="Times New Roman" w:hAnsi="Times New Roman" w:cs="Times New Roman"/>
          <w:sz w:val="24"/>
          <w:szCs w:val="24"/>
        </w:rPr>
      </w:pPr>
    </w:p>
    <w:p w14:paraId="3ECA5FA6" w14:textId="77777777" w:rsidR="00E94F96"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lastRenderedPageBreak/>
        <w:t xml:space="preserve">The criminal </w:t>
      </w:r>
      <w:r w:rsidR="00A73376" w:rsidRPr="00101D8A">
        <w:rPr>
          <w:rFonts w:ascii="Times New Roman" w:hAnsi="Times New Roman" w:cs="Times New Roman"/>
          <w:sz w:val="24"/>
          <w:szCs w:val="24"/>
        </w:rPr>
        <w:t>procedure can be referred to as the criminal law's adjudication progression, even though it dramatically differs through jurisdiction.   Criminal procedure is entangled with applying many diverse</w:t>
      </w:r>
      <w:r w:rsidR="00214068" w:rsidRPr="00101D8A">
        <w:rPr>
          <w:rFonts w:ascii="Times New Roman" w:hAnsi="Times New Roman" w:cs="Times New Roman"/>
          <w:sz w:val="24"/>
          <w:szCs w:val="24"/>
        </w:rPr>
        <w:t xml:space="preserve"> s</w:t>
      </w:r>
      <w:r w:rsidR="008A420E" w:rsidRPr="00101D8A">
        <w:rPr>
          <w:rFonts w:ascii="Times New Roman" w:hAnsi="Times New Roman" w:cs="Times New Roman"/>
          <w:sz w:val="24"/>
          <w:szCs w:val="24"/>
        </w:rPr>
        <w:t>ources of rights</w:t>
      </w:r>
      <w:r w:rsidR="00214068" w:rsidRPr="00101D8A">
        <w:rPr>
          <w:rFonts w:ascii="Times New Roman" w:hAnsi="Times New Roman" w:cs="Times New Roman"/>
          <w:sz w:val="24"/>
          <w:szCs w:val="24"/>
        </w:rPr>
        <w:t xml:space="preserve"> </w:t>
      </w:r>
      <w:r w:rsidR="00A64F09" w:rsidRPr="00101D8A">
        <w:rPr>
          <w:rFonts w:ascii="Times New Roman" w:hAnsi="Times New Roman" w:cs="Times New Roman"/>
          <w:sz w:val="24"/>
          <w:szCs w:val="24"/>
        </w:rPr>
        <w:t>(</w:t>
      </w:r>
      <w:r w:rsidR="00A64F09" w:rsidRPr="00101D8A">
        <w:rPr>
          <w:rFonts w:ascii="Times New Roman" w:hAnsi="Times New Roman" w:cs="Times New Roman"/>
          <w:sz w:val="24"/>
          <w:szCs w:val="24"/>
          <w:shd w:val="clear" w:color="auto" w:fill="FFFFFF"/>
        </w:rPr>
        <w:t xml:space="preserve">Del Carmen, </w:t>
      </w:r>
      <w:r w:rsidR="008A420E" w:rsidRPr="00101D8A">
        <w:rPr>
          <w:rFonts w:ascii="Times New Roman" w:hAnsi="Times New Roman" w:cs="Times New Roman"/>
          <w:sz w:val="24"/>
          <w:szCs w:val="24"/>
          <w:shd w:val="clear" w:color="auto" w:fill="FFFFFF"/>
        </w:rPr>
        <w:t>2013).</w:t>
      </w:r>
      <w:r w:rsidR="00214068" w:rsidRPr="00101D8A">
        <w:rPr>
          <w:rFonts w:ascii="Times New Roman" w:hAnsi="Times New Roman" w:cs="Times New Roman"/>
          <w:sz w:val="24"/>
          <w:szCs w:val="24"/>
        </w:rPr>
        <w:t xml:space="preserve"> For example</w:t>
      </w:r>
      <w:r w:rsidR="00A73376" w:rsidRPr="00101D8A">
        <w:rPr>
          <w:rFonts w:ascii="Times New Roman" w:hAnsi="Times New Roman" w:cs="Times New Roman"/>
          <w:sz w:val="24"/>
          <w:szCs w:val="24"/>
        </w:rPr>
        <w:t xml:space="preserve">, we have the United States constitution, the supreme court of the United States, the constitution and courts of the state, federal and state statutes, the jurisdictive verdicts of federal and state </w:t>
      </w:r>
      <w:r w:rsidR="00214068" w:rsidRPr="00101D8A">
        <w:rPr>
          <w:rFonts w:ascii="Times New Roman" w:hAnsi="Times New Roman" w:cs="Times New Roman"/>
          <w:sz w:val="24"/>
          <w:szCs w:val="24"/>
        </w:rPr>
        <w:t>courts, and the American Institute's Model Code of Pre-Arraignment procedure.</w:t>
      </w:r>
    </w:p>
    <w:p w14:paraId="74C4460F" w14:textId="77777777" w:rsidR="00214068"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Due process and the discerning of crime control can be described and distinguished by the fact that both models attempt to handle crime and punish people who have committed a dev</w:t>
      </w:r>
      <w:r w:rsidRPr="00101D8A">
        <w:rPr>
          <w:rFonts w:ascii="Times New Roman" w:hAnsi="Times New Roman" w:cs="Times New Roman"/>
          <w:sz w:val="24"/>
          <w:szCs w:val="24"/>
        </w:rPr>
        <w:t xml:space="preserve">iant act. For instance, the crime control model can suggest that an individual is guilty provided he is proven by the courts to be innocent, whereby </w:t>
      </w:r>
      <w:r w:rsidR="006C1487" w:rsidRPr="00101D8A">
        <w:rPr>
          <w:rFonts w:ascii="Times New Roman" w:hAnsi="Times New Roman" w:cs="Times New Roman"/>
          <w:sz w:val="24"/>
          <w:szCs w:val="24"/>
        </w:rPr>
        <w:t>due process will probably propose that one is innocent provided he is not proven to be guilty.</w:t>
      </w:r>
    </w:p>
    <w:p w14:paraId="28C096BA" w14:textId="77777777" w:rsidR="006C1487"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It i</w:t>
      </w:r>
      <w:r w:rsidR="00445864" w:rsidRPr="00101D8A">
        <w:rPr>
          <w:rFonts w:ascii="Times New Roman" w:hAnsi="Times New Roman" w:cs="Times New Roman"/>
          <w:sz w:val="24"/>
          <w:szCs w:val="24"/>
        </w:rPr>
        <w:t xml:space="preserve">s preferable to use bright-line decisions over the adjudication of case-by-case and vice-versa because with standards, bright-line choices are said to able to buy itself nuance. Also, a bright-line decision is preferable over case-by-case adjudication because it is flexible.  On the side of vice versa, it is preferable since it dwells mostly on conscious choices. Therefore, it is preferable to adopt bright-line decisions because it is even useful to judges characterized by limited knowledge. This is because they can use rulings that are broad </w:t>
      </w:r>
      <w:r w:rsidR="000F6AB9" w:rsidRPr="00101D8A">
        <w:rPr>
          <w:rFonts w:ascii="Times New Roman" w:hAnsi="Times New Roman" w:cs="Times New Roman"/>
          <w:sz w:val="24"/>
          <w:szCs w:val="24"/>
        </w:rPr>
        <w:t>to come up with</w:t>
      </w:r>
      <w:r w:rsidR="00A64F09" w:rsidRPr="00101D8A">
        <w:rPr>
          <w:rFonts w:ascii="Times New Roman" w:hAnsi="Times New Roman" w:cs="Times New Roman"/>
          <w:sz w:val="24"/>
          <w:szCs w:val="24"/>
        </w:rPr>
        <w:t xml:space="preserve"> legal sentences that are better</w:t>
      </w:r>
      <w:r w:rsidR="00A64F09" w:rsidRPr="00101D8A">
        <w:rPr>
          <w:rFonts w:ascii="Times New Roman" w:hAnsi="Times New Roman" w:cs="Times New Roman"/>
          <w:sz w:val="24"/>
          <w:szCs w:val="24"/>
          <w:shd w:val="clear" w:color="auto" w:fill="FFFFFF"/>
        </w:rPr>
        <w:t xml:space="preserve"> (Eisenhauer, 2015).</w:t>
      </w:r>
    </w:p>
    <w:p w14:paraId="7F6318FC" w14:textId="77777777" w:rsidR="0045270E"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Even though the Bill of Rights was designed with limitations on the federal government, the same restrictions have been applicable in every state by the Supreme Court of the United States of America. The Bill of Rights consisted of 10 amendments that expli</w:t>
      </w:r>
      <w:r w:rsidRPr="00101D8A">
        <w:rPr>
          <w:rFonts w:ascii="Times New Roman" w:hAnsi="Times New Roman" w:cs="Times New Roman"/>
          <w:sz w:val="24"/>
          <w:szCs w:val="24"/>
        </w:rPr>
        <w:t xml:space="preserve">citly guaranteed specific rights and protection to the US citizens. This was to be done by limiting federal </w:t>
      </w:r>
      <w:r w:rsidRPr="00101D8A">
        <w:rPr>
          <w:rFonts w:ascii="Times New Roman" w:hAnsi="Times New Roman" w:cs="Times New Roman"/>
          <w:sz w:val="24"/>
          <w:szCs w:val="24"/>
        </w:rPr>
        <w:lastRenderedPageBreak/>
        <w:t xml:space="preserve">government power. It is sensible because it has been implemented in other states by preventing the government's interference with freedom of </w:t>
      </w:r>
      <w:r w:rsidR="005B0F03" w:rsidRPr="00101D8A">
        <w:rPr>
          <w:rFonts w:ascii="Times New Roman" w:hAnsi="Times New Roman" w:cs="Times New Roman"/>
          <w:sz w:val="24"/>
          <w:szCs w:val="24"/>
        </w:rPr>
        <w:t>religious exercise, peaceable assembly, and speech.</w:t>
      </w:r>
    </w:p>
    <w:p w14:paraId="17C27D53" w14:textId="77777777" w:rsidR="005B0F03"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 xml:space="preserve">A preliminary hearing is a process by which prosecutors and the defense attorney avails evidence linked to the verdicts in a criminal case. The procedural issue associated with preliminary hearing is that judge </w:t>
      </w:r>
      <w:r w:rsidRPr="00101D8A">
        <w:rPr>
          <w:rFonts w:ascii="Times New Roman" w:hAnsi="Times New Roman" w:cs="Times New Roman"/>
          <w:sz w:val="24"/>
          <w:szCs w:val="24"/>
        </w:rPr>
        <w:t>makes use of the possible cause acceptable</w:t>
      </w:r>
      <w:r w:rsidR="00B73657" w:rsidRPr="00101D8A">
        <w:rPr>
          <w:rFonts w:ascii="Times New Roman" w:hAnsi="Times New Roman" w:cs="Times New Roman"/>
          <w:sz w:val="24"/>
          <w:szCs w:val="24"/>
        </w:rPr>
        <w:t xml:space="preserve"> standard. With this, the judge decides if the government has produced evidence, which is enough that can be used to persuade </w:t>
      </w:r>
      <w:r w:rsidR="00B350E1" w:rsidRPr="00101D8A">
        <w:rPr>
          <w:rFonts w:ascii="Times New Roman" w:hAnsi="Times New Roman" w:cs="Times New Roman"/>
          <w:sz w:val="24"/>
          <w:szCs w:val="24"/>
        </w:rPr>
        <w:t xml:space="preserve">the jury that the misconduct was done, and the perpetrator did the apparent </w:t>
      </w:r>
      <w:r w:rsidR="00A64F09" w:rsidRPr="00101D8A">
        <w:rPr>
          <w:rFonts w:ascii="Times New Roman" w:hAnsi="Times New Roman" w:cs="Times New Roman"/>
          <w:sz w:val="24"/>
          <w:szCs w:val="24"/>
        </w:rPr>
        <w:t>crime</w:t>
      </w:r>
      <w:r w:rsidR="00A64F09" w:rsidRPr="00101D8A">
        <w:rPr>
          <w:rFonts w:ascii="Times New Roman" w:hAnsi="Times New Roman" w:cs="Times New Roman"/>
          <w:sz w:val="24"/>
          <w:szCs w:val="24"/>
          <w:shd w:val="clear" w:color="auto" w:fill="FFFFFF"/>
        </w:rPr>
        <w:t xml:space="preserve"> (Ermakova </w:t>
      </w:r>
      <w:r w:rsidR="00A64F09" w:rsidRPr="00101D8A">
        <w:rPr>
          <w:rFonts w:ascii="Times New Roman" w:hAnsi="Times New Roman" w:cs="Times New Roman"/>
          <w:i/>
          <w:sz w:val="24"/>
          <w:szCs w:val="24"/>
          <w:shd w:val="clear" w:color="auto" w:fill="FFFFFF"/>
        </w:rPr>
        <w:t xml:space="preserve">et al., </w:t>
      </w:r>
      <w:r w:rsidR="00A64F09" w:rsidRPr="00101D8A">
        <w:rPr>
          <w:rFonts w:ascii="Times New Roman" w:hAnsi="Times New Roman" w:cs="Times New Roman"/>
          <w:sz w:val="24"/>
          <w:szCs w:val="24"/>
          <w:shd w:val="clear" w:color="auto" w:fill="FFFFFF"/>
        </w:rPr>
        <w:t>2017).</w:t>
      </w:r>
    </w:p>
    <w:p w14:paraId="1B4EA3B5" w14:textId="77777777" w:rsidR="00FF4F05"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The Fifth Amendment issues regarding reciprocal defense discovery are that when a perpetrator practices the right to appeal for extra discovery, the prosecutor is permitted to demand mutual discovery, getting specific information from th</w:t>
      </w:r>
      <w:r w:rsidRPr="00101D8A">
        <w:rPr>
          <w:rFonts w:ascii="Times New Roman" w:hAnsi="Times New Roman" w:cs="Times New Roman"/>
          <w:sz w:val="24"/>
          <w:szCs w:val="24"/>
        </w:rPr>
        <w:t xml:space="preserve">e defendant. The information obtained should be analogous </w:t>
      </w:r>
      <w:r w:rsidR="00E86E88" w:rsidRPr="00101D8A">
        <w:rPr>
          <w:rFonts w:ascii="Times New Roman" w:hAnsi="Times New Roman" w:cs="Times New Roman"/>
          <w:sz w:val="24"/>
          <w:szCs w:val="24"/>
        </w:rPr>
        <w:t>to the data, which should be provided by the prosecutor to the defendant.</w:t>
      </w:r>
    </w:p>
    <w:p w14:paraId="32EB2654" w14:textId="77777777" w:rsidR="00E86E88"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 xml:space="preserve">Prosecutions are obliged with many pretrial discovery rights in the light of the government. For instance, </w:t>
      </w:r>
      <w:r w:rsidR="0070536A" w:rsidRPr="00101D8A">
        <w:rPr>
          <w:rFonts w:ascii="Times New Roman" w:hAnsi="Times New Roman" w:cs="Times New Roman"/>
          <w:sz w:val="24"/>
          <w:szCs w:val="24"/>
        </w:rPr>
        <w:t xml:space="preserve">it is via the standard discovery procedure that prosecutors can get reports of the arresting officers and statements made by the witnesses </w:t>
      </w:r>
      <w:r w:rsidR="00A64F09" w:rsidRPr="00101D8A">
        <w:rPr>
          <w:rFonts w:ascii="Times New Roman" w:hAnsi="Times New Roman" w:cs="Times New Roman"/>
          <w:sz w:val="24"/>
          <w:szCs w:val="24"/>
        </w:rPr>
        <w:t>of the prosecution</w:t>
      </w:r>
      <w:r w:rsidR="00A64F09" w:rsidRPr="00101D8A">
        <w:rPr>
          <w:rFonts w:ascii="Times New Roman" w:hAnsi="Times New Roman" w:cs="Times New Roman"/>
          <w:sz w:val="24"/>
          <w:szCs w:val="24"/>
          <w:shd w:val="clear" w:color="auto" w:fill="FFFFFF"/>
        </w:rPr>
        <w:t xml:space="preserve"> (Fahey </w:t>
      </w:r>
      <w:r w:rsidR="00A64F09" w:rsidRPr="00101D8A">
        <w:rPr>
          <w:rFonts w:ascii="Times New Roman" w:hAnsi="Times New Roman" w:cs="Times New Roman"/>
          <w:i/>
          <w:sz w:val="24"/>
          <w:szCs w:val="24"/>
          <w:shd w:val="clear" w:color="auto" w:fill="FFFFFF"/>
        </w:rPr>
        <w:t xml:space="preserve">et al., </w:t>
      </w:r>
      <w:r w:rsidR="00A64F09" w:rsidRPr="00101D8A">
        <w:rPr>
          <w:rFonts w:ascii="Times New Roman" w:hAnsi="Times New Roman" w:cs="Times New Roman"/>
          <w:sz w:val="24"/>
          <w:szCs w:val="24"/>
          <w:shd w:val="clear" w:color="auto" w:fill="FFFFFF"/>
        </w:rPr>
        <w:t xml:space="preserve">2014). </w:t>
      </w:r>
      <w:r w:rsidR="00A64F09" w:rsidRPr="00101D8A">
        <w:rPr>
          <w:rFonts w:ascii="Times New Roman" w:hAnsi="Times New Roman" w:cs="Times New Roman"/>
          <w:sz w:val="24"/>
          <w:szCs w:val="24"/>
        </w:rPr>
        <w:t>Also, they</w:t>
      </w:r>
      <w:r w:rsidR="0070536A" w:rsidRPr="00101D8A">
        <w:rPr>
          <w:rFonts w:ascii="Times New Roman" w:hAnsi="Times New Roman" w:cs="Times New Roman"/>
          <w:sz w:val="24"/>
          <w:szCs w:val="24"/>
        </w:rPr>
        <w:t xml:space="preserve"> can scrutinize proof being proposed to be introduced at trial by the trial. </w:t>
      </w:r>
    </w:p>
    <w:p w14:paraId="022A3A9D" w14:textId="77777777" w:rsidR="0070536A"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The identification and definition of the poisonous</w:t>
      </w:r>
      <w:r w:rsidR="0030032B" w:rsidRPr="00101D8A">
        <w:rPr>
          <w:rFonts w:ascii="Times New Roman" w:hAnsi="Times New Roman" w:cs="Times New Roman"/>
          <w:sz w:val="24"/>
          <w:szCs w:val="24"/>
        </w:rPr>
        <w:t xml:space="preserve"> tree doctrine could be described as a doctrine that encompasses the exclusionary statute to make proof precluded in court if it was retrieved from proof obtained illegally. According to the used metaphor, if the ''tree' 'which is to provide evidence, is tainted, so is not the'' fruit' 'of the tree, wh</w:t>
      </w:r>
      <w:r w:rsidR="00A64F09" w:rsidRPr="00101D8A">
        <w:rPr>
          <w:rFonts w:ascii="Times New Roman" w:hAnsi="Times New Roman" w:cs="Times New Roman"/>
          <w:sz w:val="24"/>
          <w:szCs w:val="24"/>
        </w:rPr>
        <w:t>ich is tainted</w:t>
      </w:r>
      <w:r w:rsidR="00A64F09" w:rsidRPr="00101D8A">
        <w:rPr>
          <w:rFonts w:ascii="Times New Roman" w:hAnsi="Times New Roman" w:cs="Times New Roman"/>
          <w:sz w:val="24"/>
          <w:szCs w:val="24"/>
          <w:shd w:val="clear" w:color="auto" w:fill="FFFFFF"/>
        </w:rPr>
        <w:t xml:space="preserve"> (Lemley, 2017).</w:t>
      </w:r>
    </w:p>
    <w:p w14:paraId="29174133" w14:textId="77777777" w:rsidR="0030032B"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lastRenderedPageBreak/>
        <w:t>Good faith exception to search and seizure violations should be eliminated because they are considered legally defective.  Also, it should be destroyed because its evidence is co</w:t>
      </w:r>
      <w:r w:rsidRPr="00101D8A">
        <w:rPr>
          <w:rFonts w:ascii="Times New Roman" w:hAnsi="Times New Roman" w:cs="Times New Roman"/>
          <w:sz w:val="24"/>
          <w:szCs w:val="24"/>
        </w:rPr>
        <w:t xml:space="preserve">nsidered to be unsupported by possible cause. It matters for good-faith exception allows for constitutional violations to go unpunished because </w:t>
      </w:r>
      <w:r w:rsidR="00CA4E2C" w:rsidRPr="00101D8A">
        <w:rPr>
          <w:rFonts w:ascii="Times New Roman" w:hAnsi="Times New Roman" w:cs="Times New Roman"/>
          <w:sz w:val="24"/>
          <w:szCs w:val="24"/>
        </w:rPr>
        <w:t>the implied contract of the good faith and just dealing is that general presumption that the involved parties will deal fairly, honestly, and in good faith.</w:t>
      </w:r>
    </w:p>
    <w:p w14:paraId="7C2D02CA" w14:textId="77777777" w:rsidR="00CA4E2C" w:rsidRPr="00101D8A" w:rsidRDefault="002778B4" w:rsidP="00101D8A">
      <w:pPr>
        <w:spacing w:line="480" w:lineRule="auto"/>
        <w:ind w:firstLine="720"/>
        <w:jc w:val="both"/>
        <w:rPr>
          <w:rFonts w:ascii="Times New Roman" w:hAnsi="Times New Roman" w:cs="Times New Roman"/>
          <w:sz w:val="24"/>
          <w:szCs w:val="24"/>
        </w:rPr>
      </w:pPr>
      <w:r w:rsidRPr="00101D8A">
        <w:rPr>
          <w:rFonts w:ascii="Times New Roman" w:hAnsi="Times New Roman" w:cs="Times New Roman"/>
          <w:sz w:val="24"/>
          <w:szCs w:val="24"/>
        </w:rPr>
        <w:t xml:space="preserve">Civil </w:t>
      </w:r>
      <w:r w:rsidR="00D27536" w:rsidRPr="00101D8A">
        <w:rPr>
          <w:rFonts w:ascii="Times New Roman" w:hAnsi="Times New Roman" w:cs="Times New Roman"/>
          <w:sz w:val="24"/>
          <w:szCs w:val="24"/>
        </w:rPr>
        <w:t>liability is a meaningful deterrent against the misconduct of the police. This is civil liability aims at allowing police fatalities to get compensation for injuries in terms of money. Also, civil liability is used to inspire departments to equip their officers with healthy training.</w:t>
      </w:r>
    </w:p>
    <w:p w14:paraId="040483EA" w14:textId="77777777" w:rsidR="00CE0AB9" w:rsidRDefault="00CE0AB9" w:rsidP="00101D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4B4EE11" w14:textId="4AB45A99" w:rsidR="00E86E88" w:rsidRPr="00101D8A" w:rsidRDefault="002778B4" w:rsidP="00101D8A">
      <w:pPr>
        <w:spacing w:line="480" w:lineRule="auto"/>
        <w:ind w:firstLine="720"/>
        <w:jc w:val="center"/>
        <w:rPr>
          <w:rFonts w:ascii="Times New Roman" w:hAnsi="Times New Roman" w:cs="Times New Roman"/>
          <w:sz w:val="24"/>
          <w:szCs w:val="24"/>
        </w:rPr>
      </w:pPr>
      <w:r w:rsidRPr="00101D8A">
        <w:rPr>
          <w:rFonts w:ascii="Times New Roman" w:hAnsi="Times New Roman" w:cs="Times New Roman"/>
          <w:sz w:val="24"/>
          <w:szCs w:val="24"/>
        </w:rPr>
        <w:lastRenderedPageBreak/>
        <w:t>Reference</w:t>
      </w:r>
    </w:p>
    <w:p w14:paraId="3C1DEA67" w14:textId="77777777" w:rsidR="00101D8A" w:rsidRPr="00101D8A" w:rsidRDefault="002778B4" w:rsidP="00101D8A">
      <w:pPr>
        <w:spacing w:line="480" w:lineRule="auto"/>
        <w:ind w:left="720" w:hanging="720"/>
        <w:jc w:val="both"/>
        <w:rPr>
          <w:rFonts w:ascii="Times New Roman" w:hAnsi="Times New Roman" w:cs="Times New Roman"/>
          <w:sz w:val="24"/>
          <w:szCs w:val="24"/>
          <w:shd w:val="clear" w:color="auto" w:fill="FFFFFF"/>
        </w:rPr>
      </w:pPr>
      <w:r w:rsidRPr="00101D8A">
        <w:rPr>
          <w:rFonts w:ascii="Times New Roman" w:hAnsi="Times New Roman" w:cs="Times New Roman"/>
          <w:sz w:val="24"/>
          <w:szCs w:val="24"/>
          <w:shd w:val="clear" w:color="auto" w:fill="FFFFFF"/>
        </w:rPr>
        <w:t>Del Carmen, R. V. (2013). </w:t>
      </w:r>
      <w:r w:rsidRPr="00101D8A">
        <w:rPr>
          <w:rFonts w:ascii="Times New Roman" w:hAnsi="Times New Roman" w:cs="Times New Roman"/>
          <w:i/>
          <w:iCs/>
          <w:sz w:val="24"/>
          <w:szCs w:val="24"/>
          <w:shd w:val="clear" w:color="auto" w:fill="FFFFFF"/>
        </w:rPr>
        <w:t>Criminal procedure: Law and practice</w:t>
      </w:r>
      <w:r w:rsidRPr="00101D8A">
        <w:rPr>
          <w:rFonts w:ascii="Times New Roman" w:hAnsi="Times New Roman" w:cs="Times New Roman"/>
          <w:sz w:val="24"/>
          <w:szCs w:val="24"/>
          <w:shd w:val="clear" w:color="auto" w:fill="FFFFFF"/>
        </w:rPr>
        <w:t>. Cengage Learning.</w:t>
      </w:r>
    </w:p>
    <w:p w14:paraId="62B63E4B" w14:textId="77777777" w:rsidR="00101D8A" w:rsidRPr="00101D8A" w:rsidRDefault="002778B4" w:rsidP="00101D8A">
      <w:pPr>
        <w:spacing w:line="480" w:lineRule="auto"/>
        <w:ind w:left="720" w:hanging="720"/>
        <w:jc w:val="both"/>
        <w:rPr>
          <w:rFonts w:ascii="Times New Roman" w:hAnsi="Times New Roman" w:cs="Times New Roman"/>
          <w:sz w:val="24"/>
          <w:szCs w:val="24"/>
          <w:shd w:val="clear" w:color="auto" w:fill="FFFFFF"/>
        </w:rPr>
      </w:pPr>
      <w:r w:rsidRPr="00101D8A">
        <w:rPr>
          <w:rFonts w:ascii="Times New Roman" w:hAnsi="Times New Roman" w:cs="Times New Roman"/>
          <w:sz w:val="24"/>
          <w:szCs w:val="24"/>
          <w:shd w:val="clear" w:color="auto" w:fill="FFFFFF"/>
        </w:rPr>
        <w:t xml:space="preserve">Eisenhauer, C. M. (2015). Police Action and the State-Created Danger </w:t>
      </w:r>
      <w:r w:rsidRPr="00101D8A">
        <w:rPr>
          <w:rFonts w:ascii="Times New Roman" w:hAnsi="Times New Roman" w:cs="Times New Roman"/>
          <w:sz w:val="24"/>
          <w:szCs w:val="24"/>
          <w:shd w:val="clear" w:color="auto" w:fill="FFFFFF"/>
        </w:rPr>
        <w:t>Doctrine: A Proposed Uniform Test. </w:t>
      </w:r>
      <w:r w:rsidRPr="00101D8A">
        <w:rPr>
          <w:rFonts w:ascii="Times New Roman" w:hAnsi="Times New Roman" w:cs="Times New Roman"/>
          <w:i/>
          <w:iCs/>
          <w:sz w:val="24"/>
          <w:szCs w:val="24"/>
          <w:shd w:val="clear" w:color="auto" w:fill="FFFFFF"/>
        </w:rPr>
        <w:t>Penn St. L. Rev.</w:t>
      </w:r>
      <w:r w:rsidRPr="00101D8A">
        <w:rPr>
          <w:rFonts w:ascii="Times New Roman" w:hAnsi="Times New Roman" w:cs="Times New Roman"/>
          <w:sz w:val="24"/>
          <w:szCs w:val="24"/>
          <w:shd w:val="clear" w:color="auto" w:fill="FFFFFF"/>
        </w:rPr>
        <w:t>, </w:t>
      </w:r>
      <w:r w:rsidRPr="00101D8A">
        <w:rPr>
          <w:rFonts w:ascii="Times New Roman" w:hAnsi="Times New Roman" w:cs="Times New Roman"/>
          <w:i/>
          <w:iCs/>
          <w:sz w:val="24"/>
          <w:szCs w:val="24"/>
          <w:shd w:val="clear" w:color="auto" w:fill="FFFFFF"/>
        </w:rPr>
        <w:t>120</w:t>
      </w:r>
      <w:r w:rsidRPr="00101D8A">
        <w:rPr>
          <w:rFonts w:ascii="Times New Roman" w:hAnsi="Times New Roman" w:cs="Times New Roman"/>
          <w:sz w:val="24"/>
          <w:szCs w:val="24"/>
          <w:shd w:val="clear" w:color="auto" w:fill="FFFFFF"/>
        </w:rPr>
        <w:t>, 893.</w:t>
      </w:r>
    </w:p>
    <w:p w14:paraId="0480AB07" w14:textId="77777777" w:rsidR="00101D8A" w:rsidRPr="00101D8A" w:rsidRDefault="002778B4" w:rsidP="00101D8A">
      <w:pPr>
        <w:spacing w:line="480" w:lineRule="auto"/>
        <w:ind w:left="720" w:hanging="720"/>
        <w:jc w:val="both"/>
        <w:rPr>
          <w:rFonts w:ascii="Times New Roman" w:hAnsi="Times New Roman" w:cs="Times New Roman"/>
          <w:sz w:val="24"/>
          <w:szCs w:val="24"/>
          <w:shd w:val="clear" w:color="auto" w:fill="FFFFFF"/>
        </w:rPr>
      </w:pPr>
      <w:r w:rsidRPr="00101D8A">
        <w:rPr>
          <w:rFonts w:ascii="Times New Roman" w:hAnsi="Times New Roman" w:cs="Times New Roman"/>
          <w:sz w:val="24"/>
          <w:szCs w:val="24"/>
          <w:shd w:val="clear" w:color="auto" w:fill="FFFFFF"/>
        </w:rPr>
        <w:t>Ermakova Daria, D., &amp; Eduardovich, V. S. (2017). PRELIMINARY HEARING AS STAGE OF CRIMINAL PROCEEDINGS. </w:t>
      </w:r>
      <w:r w:rsidRPr="00101D8A">
        <w:rPr>
          <w:rFonts w:ascii="Times New Roman" w:hAnsi="Times New Roman" w:cs="Times New Roman"/>
          <w:i/>
          <w:iCs/>
          <w:sz w:val="24"/>
          <w:szCs w:val="24"/>
          <w:shd w:val="clear" w:color="auto" w:fill="FFFFFF"/>
        </w:rPr>
        <w:t>YOUTH SCIENTIFIC AND EDUCATIONAL POTENTIAL IN SOLVING ACTUAL PROBLEMS OF THE XXI CENTURY</w:t>
      </w:r>
      <w:r w:rsidRPr="00101D8A">
        <w:rPr>
          <w:rFonts w:ascii="Times New Roman" w:hAnsi="Times New Roman" w:cs="Times New Roman"/>
          <w:sz w:val="24"/>
          <w:szCs w:val="24"/>
          <w:shd w:val="clear" w:color="auto" w:fill="FFFFFF"/>
        </w:rPr>
        <w:t xml:space="preserve">, </w:t>
      </w:r>
      <w:r w:rsidRPr="00101D8A">
        <w:rPr>
          <w:rFonts w:ascii="Times New Roman" w:hAnsi="Times New Roman" w:cs="Times New Roman"/>
          <w:sz w:val="24"/>
          <w:szCs w:val="24"/>
          <w:shd w:val="clear" w:color="auto" w:fill="FFFFFF"/>
        </w:rPr>
        <w:t>319.</w:t>
      </w:r>
    </w:p>
    <w:p w14:paraId="572DCE9C" w14:textId="77777777" w:rsidR="00101D8A" w:rsidRPr="00101D8A" w:rsidRDefault="002778B4" w:rsidP="00101D8A">
      <w:pPr>
        <w:spacing w:line="480" w:lineRule="auto"/>
        <w:ind w:left="720" w:hanging="720"/>
        <w:jc w:val="both"/>
        <w:rPr>
          <w:rFonts w:ascii="Times New Roman" w:hAnsi="Times New Roman" w:cs="Times New Roman"/>
          <w:sz w:val="24"/>
          <w:szCs w:val="24"/>
          <w:shd w:val="clear" w:color="auto" w:fill="FFFFFF"/>
        </w:rPr>
      </w:pPr>
      <w:r w:rsidRPr="00101D8A">
        <w:rPr>
          <w:rFonts w:ascii="Times New Roman" w:hAnsi="Times New Roman" w:cs="Times New Roman"/>
          <w:sz w:val="24"/>
          <w:szCs w:val="24"/>
          <w:shd w:val="clear" w:color="auto" w:fill="FFFFFF"/>
        </w:rPr>
        <w:t xml:space="preserve">Fahey, E., &amp; Tao, Z. (2014). In civil cases, the pretrial discovery process is a comparison of evidence discovery between China and the United States. </w:t>
      </w:r>
      <w:r w:rsidRPr="00101D8A">
        <w:rPr>
          <w:rFonts w:ascii="Times New Roman" w:hAnsi="Times New Roman" w:cs="Times New Roman"/>
          <w:i/>
          <w:iCs/>
          <w:sz w:val="24"/>
          <w:szCs w:val="24"/>
          <w:shd w:val="clear" w:color="auto" w:fill="FFFFFF"/>
        </w:rPr>
        <w:t>BC Int'l &amp; Comp. L. Rev.</w:t>
      </w:r>
      <w:r w:rsidRPr="00101D8A">
        <w:rPr>
          <w:rFonts w:ascii="Times New Roman" w:hAnsi="Times New Roman" w:cs="Times New Roman"/>
          <w:sz w:val="24"/>
          <w:szCs w:val="24"/>
          <w:shd w:val="clear" w:color="auto" w:fill="FFFFFF"/>
        </w:rPr>
        <w:t>, </w:t>
      </w:r>
      <w:r w:rsidRPr="00101D8A">
        <w:rPr>
          <w:rFonts w:ascii="Times New Roman" w:hAnsi="Times New Roman" w:cs="Times New Roman"/>
          <w:i/>
          <w:iCs/>
          <w:sz w:val="24"/>
          <w:szCs w:val="24"/>
          <w:shd w:val="clear" w:color="auto" w:fill="FFFFFF"/>
        </w:rPr>
        <w:t>37</w:t>
      </w:r>
      <w:r w:rsidRPr="00101D8A">
        <w:rPr>
          <w:rFonts w:ascii="Times New Roman" w:hAnsi="Times New Roman" w:cs="Times New Roman"/>
          <w:sz w:val="24"/>
          <w:szCs w:val="24"/>
          <w:shd w:val="clear" w:color="auto" w:fill="FFFFFF"/>
        </w:rPr>
        <w:t>, 281.</w:t>
      </w:r>
    </w:p>
    <w:p w14:paraId="135C10D0" w14:textId="77777777" w:rsidR="00101D8A" w:rsidRPr="00101D8A" w:rsidRDefault="002778B4" w:rsidP="00101D8A">
      <w:pPr>
        <w:spacing w:line="480" w:lineRule="auto"/>
        <w:ind w:left="720" w:hanging="720"/>
        <w:jc w:val="both"/>
        <w:rPr>
          <w:rFonts w:ascii="Times New Roman" w:hAnsi="Times New Roman" w:cs="Times New Roman"/>
          <w:sz w:val="24"/>
          <w:szCs w:val="24"/>
        </w:rPr>
      </w:pPr>
      <w:r w:rsidRPr="00101D8A">
        <w:rPr>
          <w:rFonts w:ascii="Times New Roman" w:hAnsi="Times New Roman" w:cs="Times New Roman"/>
          <w:sz w:val="24"/>
          <w:szCs w:val="24"/>
          <w:shd w:val="clear" w:color="auto" w:fill="FFFFFF"/>
        </w:rPr>
        <w:t>Lemley, M. A. (2017). The Fruit of the Poisonous Tree in IP Law. </w:t>
      </w:r>
      <w:r w:rsidRPr="00101D8A">
        <w:rPr>
          <w:rFonts w:ascii="Times New Roman" w:hAnsi="Times New Roman" w:cs="Times New Roman"/>
          <w:i/>
          <w:iCs/>
          <w:sz w:val="24"/>
          <w:szCs w:val="24"/>
          <w:shd w:val="clear" w:color="auto" w:fill="FFFFFF"/>
        </w:rPr>
        <w:t>Iowa L. Rev.</w:t>
      </w:r>
      <w:r w:rsidRPr="00101D8A">
        <w:rPr>
          <w:rFonts w:ascii="Times New Roman" w:hAnsi="Times New Roman" w:cs="Times New Roman"/>
          <w:sz w:val="24"/>
          <w:szCs w:val="24"/>
          <w:shd w:val="clear" w:color="auto" w:fill="FFFFFF"/>
        </w:rPr>
        <w:t>, </w:t>
      </w:r>
      <w:r w:rsidRPr="00101D8A">
        <w:rPr>
          <w:rFonts w:ascii="Times New Roman" w:hAnsi="Times New Roman" w:cs="Times New Roman"/>
          <w:i/>
          <w:iCs/>
          <w:sz w:val="24"/>
          <w:szCs w:val="24"/>
          <w:shd w:val="clear" w:color="auto" w:fill="FFFFFF"/>
        </w:rPr>
        <w:t>103</w:t>
      </w:r>
      <w:r w:rsidRPr="00101D8A">
        <w:rPr>
          <w:rFonts w:ascii="Times New Roman" w:hAnsi="Times New Roman" w:cs="Times New Roman"/>
          <w:sz w:val="24"/>
          <w:szCs w:val="24"/>
          <w:shd w:val="clear" w:color="auto" w:fill="FFFFFF"/>
        </w:rPr>
        <w:t>, 245.</w:t>
      </w:r>
    </w:p>
    <w:sectPr w:rsidR="00101D8A" w:rsidRPr="00101D8A" w:rsidSect="00A64F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A182E" w14:textId="77777777" w:rsidR="002778B4" w:rsidRDefault="002778B4">
      <w:pPr>
        <w:spacing w:after="0" w:line="240" w:lineRule="auto"/>
      </w:pPr>
      <w:r>
        <w:separator/>
      </w:r>
    </w:p>
  </w:endnote>
  <w:endnote w:type="continuationSeparator" w:id="0">
    <w:p w14:paraId="36818537" w14:textId="77777777" w:rsidR="002778B4" w:rsidRDefault="0027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1F7632" w14:textId="77777777" w:rsidR="002778B4" w:rsidRDefault="002778B4">
      <w:pPr>
        <w:spacing w:after="0" w:line="240" w:lineRule="auto"/>
      </w:pPr>
      <w:r>
        <w:separator/>
      </w:r>
    </w:p>
  </w:footnote>
  <w:footnote w:type="continuationSeparator" w:id="0">
    <w:p w14:paraId="6CAE91E5" w14:textId="77777777" w:rsidR="002778B4" w:rsidRDefault="00277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82936941"/>
      <w:docPartObj>
        <w:docPartGallery w:val="Page Numbers (Top of Page)"/>
        <w:docPartUnique/>
      </w:docPartObj>
    </w:sdtPr>
    <w:sdtEndPr>
      <w:rPr>
        <w:noProof/>
      </w:rPr>
    </w:sdtEndPr>
    <w:sdtContent>
      <w:p w14:paraId="090E1080" w14:textId="034D6DAE" w:rsidR="00A64F09" w:rsidRPr="00CE0AB9" w:rsidRDefault="002778B4" w:rsidP="00CE0AB9">
        <w:pPr>
          <w:pStyle w:val="Header"/>
          <w:spacing w:line="480" w:lineRule="auto"/>
          <w:jc w:val="right"/>
          <w:rPr>
            <w:rFonts w:ascii="Times New Roman" w:hAnsi="Times New Roman" w:cs="Times New Roman"/>
            <w:sz w:val="24"/>
            <w:szCs w:val="24"/>
          </w:rPr>
        </w:pPr>
        <w:r w:rsidRPr="00CE0AB9">
          <w:rPr>
            <w:rFonts w:ascii="Times New Roman" w:hAnsi="Times New Roman" w:cs="Times New Roman"/>
            <w:sz w:val="24"/>
            <w:szCs w:val="24"/>
          </w:rPr>
          <w:t xml:space="preserve">CRIMINAL JURIDISTIONS </w:t>
        </w:r>
        <w:r w:rsidRPr="00CE0AB9">
          <w:rPr>
            <w:rFonts w:ascii="Times New Roman" w:hAnsi="Times New Roman" w:cs="Times New Roman"/>
            <w:sz w:val="24"/>
            <w:szCs w:val="24"/>
          </w:rPr>
          <w:tab/>
        </w:r>
        <w:r w:rsidRPr="00CE0AB9">
          <w:rPr>
            <w:rFonts w:ascii="Times New Roman" w:hAnsi="Times New Roman" w:cs="Times New Roman"/>
            <w:sz w:val="24"/>
            <w:szCs w:val="24"/>
          </w:rPr>
          <w:tab/>
        </w:r>
        <w:r w:rsidRPr="00CE0AB9">
          <w:rPr>
            <w:rFonts w:ascii="Times New Roman" w:hAnsi="Times New Roman" w:cs="Times New Roman"/>
            <w:sz w:val="24"/>
            <w:szCs w:val="24"/>
          </w:rPr>
          <w:tab/>
        </w:r>
        <w:r w:rsidRPr="00CE0AB9">
          <w:rPr>
            <w:rFonts w:ascii="Times New Roman" w:hAnsi="Times New Roman" w:cs="Times New Roman"/>
            <w:sz w:val="24"/>
            <w:szCs w:val="24"/>
          </w:rPr>
          <w:fldChar w:fldCharType="begin"/>
        </w:r>
        <w:r w:rsidRPr="00CE0AB9">
          <w:rPr>
            <w:rFonts w:ascii="Times New Roman" w:hAnsi="Times New Roman" w:cs="Times New Roman"/>
            <w:sz w:val="24"/>
            <w:szCs w:val="24"/>
          </w:rPr>
          <w:instrText xml:space="preserve"> PAGE   \* MERGEFORMAT </w:instrText>
        </w:r>
        <w:r w:rsidRPr="00CE0AB9">
          <w:rPr>
            <w:rFonts w:ascii="Times New Roman" w:hAnsi="Times New Roman" w:cs="Times New Roman"/>
            <w:sz w:val="24"/>
            <w:szCs w:val="24"/>
          </w:rPr>
          <w:fldChar w:fldCharType="separate"/>
        </w:r>
        <w:r w:rsidR="00101D8A" w:rsidRPr="00CE0AB9">
          <w:rPr>
            <w:rFonts w:ascii="Times New Roman" w:hAnsi="Times New Roman" w:cs="Times New Roman"/>
            <w:noProof/>
            <w:sz w:val="24"/>
            <w:szCs w:val="24"/>
          </w:rPr>
          <w:t>2</w:t>
        </w:r>
        <w:r w:rsidRPr="00CE0AB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6352A" w14:textId="77777777" w:rsidR="00A64F09" w:rsidRPr="00A64F09" w:rsidRDefault="002778B4">
    <w:pPr>
      <w:pStyle w:val="Header"/>
      <w:rPr>
        <w:rFonts w:ascii="Times New Roman" w:hAnsi="Times New Roman" w:cs="Times New Roman"/>
        <w:sz w:val="24"/>
        <w:szCs w:val="24"/>
      </w:rPr>
    </w:pPr>
    <w:r w:rsidRPr="00A64F09">
      <w:rPr>
        <w:rFonts w:ascii="Times New Roman" w:hAnsi="Times New Roman" w:cs="Times New Roman"/>
        <w:sz w:val="24"/>
        <w:szCs w:val="24"/>
      </w:rPr>
      <w:t xml:space="preserve">Running Head: CRIMINAL JURIDISCTIONS  </w:t>
    </w:r>
    <w:r w:rsidRPr="00A64F09">
      <w:rPr>
        <w:rFonts w:ascii="Times New Roman" w:hAnsi="Times New Roman" w:cs="Times New Roman"/>
        <w:sz w:val="24"/>
        <w:szCs w:val="24"/>
      </w:rPr>
      <w:tab/>
    </w:r>
    <w:r w:rsidRPr="00A64F09">
      <w:rPr>
        <w:rFonts w:ascii="Times New Roman" w:hAnsi="Times New Roman" w:cs="Times New Roman"/>
        <w:sz w:val="24"/>
        <w:szCs w:val="24"/>
      </w:rPr>
      <w:tab/>
    </w:r>
    <w:r w:rsidRPr="00A64F0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2F7"/>
    <w:rsid w:val="000F6AB9"/>
    <w:rsid w:val="00101D8A"/>
    <w:rsid w:val="00113774"/>
    <w:rsid w:val="00214068"/>
    <w:rsid w:val="002778B4"/>
    <w:rsid w:val="0030032B"/>
    <w:rsid w:val="0039403B"/>
    <w:rsid w:val="00445864"/>
    <w:rsid w:val="0045270E"/>
    <w:rsid w:val="004F184D"/>
    <w:rsid w:val="005B0F03"/>
    <w:rsid w:val="00624D0E"/>
    <w:rsid w:val="006C1487"/>
    <w:rsid w:val="0070536A"/>
    <w:rsid w:val="00824BC8"/>
    <w:rsid w:val="008A420E"/>
    <w:rsid w:val="00A64F09"/>
    <w:rsid w:val="00A73376"/>
    <w:rsid w:val="00AA02F7"/>
    <w:rsid w:val="00B350E1"/>
    <w:rsid w:val="00B73657"/>
    <w:rsid w:val="00CA4E2C"/>
    <w:rsid w:val="00CE0AB9"/>
    <w:rsid w:val="00D27536"/>
    <w:rsid w:val="00E86E88"/>
    <w:rsid w:val="00E94F96"/>
    <w:rsid w:val="00FF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A80F"/>
  <w15:docId w15:val="{E20696EC-7F49-4B59-8D90-0C8ACDC9F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F09"/>
  </w:style>
  <w:style w:type="paragraph" w:styleId="Footer">
    <w:name w:val="footer"/>
    <w:basedOn w:val="Normal"/>
    <w:link w:val="FooterChar"/>
    <w:uiPriority w:val="99"/>
    <w:unhideWhenUsed/>
    <w:rsid w:val="00A64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2</cp:revision>
  <dcterms:created xsi:type="dcterms:W3CDTF">2020-10-09T23:34:00Z</dcterms:created>
  <dcterms:modified xsi:type="dcterms:W3CDTF">2020-10-09T23:34:00Z</dcterms:modified>
</cp:coreProperties>
</file>